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rPr/>
        <w:t>January 20</w:t>
      </w:r>
      <w:r>
        <w:rPr>
          <w:vertAlign w:val="superscript"/>
        </w:rPr>
        <w:t>th</w:t>
      </w:r>
      <w:r>
        <w:rPr/>
        <w:t>, 2021,</w:t>
      </w:r>
    </w:p>
    <w:p>
      <w:pPr>
        <w:pStyle w:val="TextBody"/>
        <w:bidi w:val="0"/>
        <w:spacing w:lineRule="auto" w:line="240" w:before="0" w:after="0"/>
        <w:jc w:val="left"/>
        <w:rPr/>
      </w:pPr>
      <w:r>
        <w:rPr/>
      </w:r>
    </w:p>
    <w:p>
      <w:pPr>
        <w:pStyle w:val="TextBody"/>
        <w:bidi w:val="0"/>
        <w:spacing w:lineRule="auto" w:line="240" w:before="0" w:after="0"/>
        <w:jc w:val="left"/>
        <w:rPr/>
      </w:pPr>
      <w:r>
        <w:rPr/>
        <w:t>To:</w:t>
      </w:r>
    </w:p>
    <w:p>
      <w:pPr>
        <w:pStyle w:val="TextBody"/>
        <w:bidi w:val="0"/>
        <w:spacing w:lineRule="auto" w:line="240" w:before="0" w:after="0"/>
        <w:jc w:val="left"/>
        <w:rPr/>
      </w:pPr>
      <w:r>
        <w:rPr/>
        <w:t xml:space="preserve">christian@db.com, </w:t>
      </w:r>
    </w:p>
    <w:p>
      <w:pPr>
        <w:pStyle w:val="TextBody"/>
        <w:bidi w:val="0"/>
        <w:spacing w:lineRule="auto" w:line="240" w:before="0" w:after="0"/>
        <w:jc w:val="left"/>
        <w:rPr/>
      </w:pPr>
      <w:r>
        <w:rPr/>
        <w:t xml:space="preserve">deutsche.bank@db.com, </w:t>
      </w:r>
    </w:p>
    <w:p>
      <w:pPr>
        <w:pStyle w:val="TextBody"/>
        <w:bidi w:val="0"/>
        <w:spacing w:lineRule="auto" w:line="240" w:before="0" w:after="0"/>
        <w:jc w:val="left"/>
        <w:rPr/>
      </w:pPr>
      <w:r>
        <w:rPr/>
        <w:t xml:space="preserve">deutschebankoffice05@gmail.com, </w:t>
      </w:r>
    </w:p>
    <w:p>
      <w:pPr>
        <w:pStyle w:val="TextBody"/>
        <w:bidi w:val="0"/>
        <w:spacing w:lineRule="auto" w:line="240" w:before="0" w:after="0"/>
        <w:jc w:val="left"/>
        <w:rPr/>
      </w:pPr>
      <w:r>
        <w:rPr/>
        <w:t xml:space="preserve">jimjack120@gmail.com, </w:t>
      </w:r>
    </w:p>
    <w:p>
      <w:pPr>
        <w:pStyle w:val="TextBody"/>
        <w:bidi w:val="0"/>
        <w:spacing w:lineRule="auto" w:line="240" w:before="0" w:after="0"/>
        <w:jc w:val="left"/>
        <w:rPr/>
      </w:pPr>
      <w:r>
        <w:rPr/>
        <w:t xml:space="preserve">glenn.morgan@db.com, </w:t>
      </w:r>
    </w:p>
    <w:p>
      <w:pPr>
        <w:pStyle w:val="TextBody"/>
        <w:bidi w:val="0"/>
        <w:spacing w:lineRule="auto" w:line="240" w:before="0" w:after="0"/>
        <w:jc w:val="left"/>
        <w:rPr/>
      </w:pPr>
      <w:r>
        <w:rPr/>
        <w:t xml:space="preserve">glenn@deutschebank.com.au, </w:t>
      </w:r>
    </w:p>
    <w:p>
      <w:pPr>
        <w:pStyle w:val="TextBody"/>
        <w:bidi w:val="0"/>
        <w:spacing w:lineRule="auto" w:line="240" w:before="0" w:after="0"/>
        <w:jc w:val="left"/>
        <w:rPr/>
      </w:pPr>
      <w:r>
        <w:rPr/>
      </w:r>
    </w:p>
    <w:p>
      <w:pPr>
        <w:pStyle w:val="TextBody"/>
        <w:bidi w:val="0"/>
        <w:spacing w:lineRule="auto" w:line="240" w:before="0" w:after="0"/>
        <w:jc w:val="left"/>
        <w:rPr/>
      </w:pPr>
      <w:r>
        <w:rPr>
          <w:b/>
          <w:bCs/>
          <w:u w:val="single"/>
        </w:rPr>
        <w:t>NOTICE AS TO INTERNATIONAL ‘IDEPAGE’ LIEN PROCESS UPON DEUTSCHEBANK AS PRIMARY SUCCESSOR CO-GUARANTOR PURSUANT TO FAILURE OF CONSIDERATION OF THE RECENT INITIAL OFFERING AND FORTHCOMING FORECLOSURE-AT-LAW</w:t>
      </w:r>
      <w:r>
        <w:rPr/>
        <w:t xml:space="preserve">.  </w:t>
      </w:r>
    </w:p>
    <w:p>
      <w:pPr>
        <w:pStyle w:val="TextBody"/>
        <w:bidi w:val="0"/>
        <w:spacing w:lineRule="auto" w:line="240" w:before="0" w:after="0"/>
        <w:jc w:val="left"/>
        <w:rPr/>
      </w:pPr>
      <w:r>
        <w:rPr/>
      </w:r>
    </w:p>
    <w:p>
      <w:pPr>
        <w:pStyle w:val="TextBody"/>
        <w:numPr>
          <w:ilvl w:val="0"/>
          <w:numId w:val="1"/>
        </w:numPr>
        <w:bidi w:val="0"/>
        <w:spacing w:lineRule="auto" w:line="240" w:before="0" w:after="0"/>
        <w:jc w:val="left"/>
        <w:rPr/>
      </w:pPr>
      <w:r>
        <w:rPr/>
        <w:t xml:space="preserve">On October 3rd, 2020, as part of the initial proceedings immediately prior to filing on October 6th, you served upon me what constituted an effective Notice of Appearance in Federal Court matter 1099/2020 in a matter in which you appear to be the foreign corporate client of the Australian Securities and Investments Commission, whose duty it is to act for me as beneficiary of a 1990 security instrument and a 1966 investment instrument.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In that emailed document you happened to provide an implicit Admission of Liability for all previous events in my matter caused by the Australian Guarantee Corporation, AGC, the predecessor of Latitude Finance and GE Money. I have detailed the extent of the liability in my response of December 11</w:t>
      </w:r>
      <w:r>
        <w:rPr>
          <w:vertAlign w:val="superscript"/>
        </w:rPr>
        <w:t>th</w:t>
      </w:r>
      <w:r>
        <w:rPr/>
        <w:t xml:space="preserve"> 2020 (again attached).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In your said emailed letter of October 3rd you acknowledged, by way of your communication with me, an amount which you wish to initially pay in relation to the moneys outstanding issuing from the provision in the Deed of Engagement and Provision of 18</w:t>
      </w:r>
      <w:r>
        <w:rPr>
          <w:vertAlign w:val="superscript"/>
        </w:rPr>
        <w:t>th</w:t>
      </w:r>
      <w:r>
        <w:rPr/>
        <w:t xml:space="preserve"> June 1990. In my proclaimed and unrebutted, now affidavit-of-truth affidavit of assets, orchestrated by you and ASIC, I listed the moneys which are mine due to the 1990 approach of AGC via two instructed (as to amounts) agents, (Comer and Byrnes) in 1990 to recover the settlement loan that had been extended to me in June 1966, at an interest rate of 9.5% per annum at annual rests.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 xml:space="preserve">Your initial commitment offer falls far short of the amount of the moneys which are now mine and for which I have found a way, the only way, that the law provides to access my moneys.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In my letter of reply of December 11</w:t>
      </w:r>
      <w:r>
        <w:rPr>
          <w:vertAlign w:val="superscript"/>
        </w:rPr>
        <w:t>th</w:t>
      </w:r>
      <w:r>
        <w:rPr/>
        <w:t xml:space="preserve">, I advised you, should it be the case that you are acting in good faith, to deposit the offered US$150 million into an Australian bank account, suggesting it be an Australian Deutschebank holding account. To date I have received no confirmation that this has been done.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 xml:space="preserve">Hence, I am again writing to advise you to deposit the proffered initial acknowledgment-of-liability amount of US$150 million into my Bank of Sydney trust account, BSB 942207, account number 1487503.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On December 11</w:t>
      </w:r>
      <w:r>
        <w:rPr>
          <w:vertAlign w:val="superscript"/>
        </w:rPr>
        <w:t>th</w:t>
      </w:r>
      <w:r>
        <w:rPr/>
        <w:t>, I gave you 28 days, till January 8</w:t>
      </w:r>
      <w:r>
        <w:rPr>
          <w:vertAlign w:val="superscript"/>
        </w:rPr>
        <w:t>th</w:t>
      </w:r>
      <w:r>
        <w:rPr/>
        <w:t>, to make the advised undertaken payment - but this initial tranch payment has not been sighted.</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I now advise that I shall now allow a further fourteen days, from today, January 20</w:t>
      </w:r>
      <w:r>
        <w:rPr>
          <w:vertAlign w:val="superscript"/>
        </w:rPr>
        <w:t>th</w:t>
      </w:r>
      <w:r>
        <w:rPr/>
        <w:t xml:space="preserve"> 2021, for you to make the initial US$150 million payment to my above advised Bank of Sydney trust account, should it be the case that you are acting in good faith.</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I further advise that if the undertaken payment of US$150 million is not paid within fourteen days, pursuant to your October 3rd Notice-of-Appearance, admission-as-to-liability without “without admission as to liability”, I shall, upon the fourteenth day, that is on February 3rd, 2021, as is my right in the circumstances of the matter since 1964, thereupon take an international ‘idepage’, i.e. irrevocable, determinable, evaluative, presumptive, assumptive, (general) equitable blanket-lien over the successor-guarantor-heir of the guarantee, Deutschebank, and all its assets, wherever they are, whatever they are, if any.</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 xml:space="preserve">Failure to pay the moneys offered is an invitation to take the said ‘idepage’ lien over Deutschebank and it will be binding and in force.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Upon my taking of the said international ‘idepage’ lien over an indeterminate quantum asset, I shall then, thereupon, allow a further fourteen days, that is from February 3</w:t>
      </w:r>
      <w:r>
        <w:rPr>
          <w:vertAlign w:val="superscript"/>
        </w:rPr>
        <w:t>rd</w:t>
      </w:r>
      <w:r>
        <w:rPr/>
        <w:t xml:space="preserve"> to February 17</w:t>
      </w:r>
      <w:r>
        <w:rPr>
          <w:vertAlign w:val="superscript"/>
        </w:rPr>
        <w:t>th</w:t>
      </w:r>
      <w:r>
        <w:rPr/>
        <w:t>, before exercising the said manner of lien.</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If the undertaken first payment funds are not paid by the end of the second lot of fourteen days, that is by February 11</w:t>
      </w:r>
      <w:r>
        <w:rPr>
          <w:vertAlign w:val="superscript"/>
        </w:rPr>
        <w:t>th</w:t>
      </w:r>
      <w:r>
        <w:rPr/>
        <w:t xml:space="preserve">, I again advise that upon that date, I shall thereupon exercise the said lien, without necessarily any further advice to you and, in self executing fashion and as a matter of legal essence, foreclose at law upon Deutschebank and all its assets, whatever they are, wherever they are, if any, and, upon doing such act of foreclosure at law, title and capacity, as regards the assets, shall automatically, thereupon, at law, pass to me and I shall become the owner of the now successor-repository-heir of the 18.6.1990 guarantee, in lieu of payment on your part for “all moneys outstanding” in the amount of whatever and wherever the assets are, if any. By so doing I take my risk that the successor guarantor Deutschebank may own nothing anywhere.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Hence you have 28 days from today, January 20</w:t>
      </w:r>
      <w:r>
        <w:rPr>
          <w:vertAlign w:val="superscript"/>
        </w:rPr>
        <w:t>th</w:t>
      </w:r>
      <w:r>
        <w:rPr/>
        <w:t xml:space="preserve">, 2021, to make the initial tranch payment into the above account before the said all encompassing lien is exercised and foreclosed upon at law in self executing fashion and title and capacity pass to me as guarantoree of the 1990 Deed.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 xml:space="preserve">The manner of lien that I shall be taking, exercising and foreclosing upon, at law, in self executing fashion, is very much similar to the ‘Coronalien’, updated with section 17.3 (of the UCPR) admitted elaborations, attached, which is now a matter of public record, which  I effectively took on March </w:t>
      </w:r>
      <w:r>
        <w:rPr>
          <w:rFonts w:eastAsia="DejaVu Sans;MS Mincho" w:cs="Lohit Hindi;MS Mincho" w:ascii="Liberation Serif;Times New Roma" w:hAnsi="Liberation Serif;Times New Roma"/>
          <w:color w:val="00000A"/>
          <w:sz w:val="24"/>
          <w:szCs w:val="24"/>
          <w:lang w:val="en-US" w:eastAsia="zh-CN" w:bidi="hi-IN"/>
        </w:rPr>
        <w:t>22nd</w:t>
      </w:r>
      <w:r>
        <w:rPr/>
        <w:t xml:space="preserve"> and foreclosed at law upon, in self executing fashion, on March 27th over all the assets of the Chinese Communist Party and all their complicit 92 million members of that illicit, lawless, renegade, reprobate, hijacker-of-the-revolution party. By my having so done, title and capacity to those assets, in like manner, have also passed to me, rendering the CCP insolvent-at-law, as regards all foreign holdings and domestic too for that matter, and as far as the rest of the world is concerned, and the quite conventional ‘enliened’ and now ‘cliened’ moneys, that now comprise ‘Reserve 12’, are readily and immediately available for reparations and restitution and the like for all those who wish to claim by </w:t>
      </w:r>
      <w:r>
        <w:rPr>
          <w:b/>
          <w:bCs/>
        </w:rPr>
        <w:t>simply starting to attach those assets</w:t>
      </w:r>
      <w:r>
        <w:rPr/>
        <w:t xml:space="preserve"> etc, ‘wherever they are, whatever they are, if any’.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The world is yet to catch up to this fact of that which has been achieved, with all i’s dotted and t’s crossed, so that, at law, title and capacity as to the said assets has passed to the lienor and the overseeing of the process be done under the vigilant eye of the Commonwealth of Australia.</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 xml:space="preserve">Deutschebank, once foreclosed upon, will have privileged access to all these ‘enliened and cliened’ moneys on extremely attractive terms, as will the enliened Westpac and the Bank of Sydney, so for Deutschebank it is extremely advantageous to allow the lien to be taken and foreclosed upon and title pass so as to have access to the secured and at call, for the accessing/taking, ‘Reserve 12’ moneys.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 xml:space="preserve">The CCP has recently been agitating against Australia in response to the lien over it having been properly taken and notice served under international and common law, and by agitating they thus acknowledge that they certainly well know about the lien and its dire consequences.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As said, in similar manner, I now commence the process with the successor-repositor-heir of the guarantee, given to me by a predecessor of Latitude on June 18</w:t>
      </w:r>
      <w:r>
        <w:rPr>
          <w:vertAlign w:val="superscript"/>
        </w:rPr>
        <w:t>th</w:t>
      </w:r>
      <w:r>
        <w:rPr/>
        <w:t xml:space="preserve"> 1990 in response to receipt of its copy of the Deed and its provision of an intermediate amount of $140,000, and “all (other) moneys outstanding” (in the sense that they are provisioned in the Deed) at the offered rate of 40% per annum at quarterly rests, consequent to which 122 quarterly rests have now come to pass, as of 18</w:t>
      </w:r>
      <w:r>
        <w:rPr>
          <w:vertAlign w:val="superscript"/>
        </w:rPr>
        <w:t>th</w:t>
      </w:r>
      <w:r>
        <w:rPr/>
        <w:t xml:space="preserve"> December 2020, and continue. </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In relation to the moneys due and owing and accessible under the provision and guarantee of June 18th 1990, I now advise as to the commencement today of the ‘idepage’ lien process, which will complete with a foreclosure at law if the $150 million is not paid. Notice as to its completion will be duly advised in due course as appropriate to complete the formalities together with an advice to the Federal Court to withdraw the current action before it due to my having become the owner of ASIC’s apparent client, as evidenced by your adequate in the circumstances Notice of Appearance with Offer.</w:t>
      </w:r>
    </w:p>
    <w:p>
      <w:pPr>
        <w:pStyle w:val="TextBody"/>
        <w:numPr>
          <w:ilvl w:val="0"/>
          <w:numId w:val="0"/>
        </w:numPr>
        <w:bidi w:val="0"/>
        <w:spacing w:lineRule="auto" w:line="240" w:before="0" w:after="0"/>
        <w:ind w:left="720" w:hanging="0"/>
        <w:jc w:val="left"/>
        <w:rPr/>
      </w:pPr>
      <w:r>
        <w:rPr/>
      </w:r>
    </w:p>
    <w:p>
      <w:pPr>
        <w:pStyle w:val="TextBody"/>
        <w:numPr>
          <w:ilvl w:val="0"/>
          <w:numId w:val="1"/>
        </w:numPr>
        <w:bidi w:val="0"/>
        <w:spacing w:lineRule="auto" w:line="240" w:before="0" w:after="0"/>
        <w:jc w:val="left"/>
        <w:rPr/>
      </w:pPr>
      <w:r>
        <w:rPr/>
        <w:t>It should be noted by any genuine Debt Wipeout former debtor / beneficiary wanting their initial payment back, due to the creditor’s bank to whom it was paid having elected to not credit it to their account and instead ‘sit on it’, that they now have a third way of being repaid: by writing to Deutschebank in Sydney with this letter attached (email addresses are provided above) and demanding the return of the 15% or 25% moneys which they paid from Deutschebank as successor-repositor-guarantor for “all moneys outstanding”, now that the lien is soon to be underway and likely to be foreclosed upon at law.</w:t>
      </w:r>
    </w:p>
    <w:p>
      <w:pPr>
        <w:pStyle w:val="TextBody"/>
        <w:bidi w:val="0"/>
        <w:spacing w:lineRule="auto" w:line="240" w:before="0" w:after="0"/>
        <w:jc w:val="left"/>
        <w:rPr/>
      </w:pPr>
      <w:r>
        <w:rPr/>
      </w:r>
    </w:p>
    <w:p>
      <w:pPr>
        <w:pStyle w:val="TextBody"/>
        <w:bidi w:val="0"/>
        <w:spacing w:lineRule="auto" w:line="240" w:before="0" w:after="0"/>
        <w:jc w:val="left"/>
        <w:rPr/>
      </w:pPr>
      <w:r>
        <w:rPr/>
        <w:t>Dr David Murphy</w:t>
      </w:r>
    </w:p>
    <w:p>
      <w:pPr>
        <w:pStyle w:val="TextBody"/>
        <w:bidi w:val="0"/>
        <w:spacing w:lineRule="auto" w:line="240" w:before="0" w:after="0"/>
        <w:jc w:val="left"/>
        <w:rPr/>
      </w:pPr>
      <w:r>
        <w:rPr/>
        <w:t>Lienor, Funds Owner and Guarantoree</w:t>
      </w:r>
    </w:p>
    <w:p>
      <w:pPr>
        <w:pStyle w:val="TextBody"/>
        <w:bidi w:val="0"/>
        <w:spacing w:lineRule="auto" w:line="240" w:before="0" w:after="0"/>
        <w:jc w:val="left"/>
        <w:rPr/>
      </w:pPr>
      <w:r>
        <w:rPr/>
      </w:r>
    </w:p>
    <w:p>
      <w:pPr>
        <w:pStyle w:val="TextBody"/>
        <w:bidi w:val="0"/>
        <w:spacing w:lineRule="auto" w:line="240" w:before="0" w:after="0"/>
        <w:jc w:val="left"/>
        <w:rPr/>
      </w:pPr>
      <w:r>
        <w:rPr>
          <w:rFonts w:ascii="Cantarell" w:hAnsi="Cantarell"/>
          <w:b w:val="false"/>
          <w:i w:val="false"/>
          <w:caps w:val="false"/>
          <w:smallCaps w:val="false"/>
          <w:spacing w:val="0"/>
          <w:sz w:val="21"/>
        </w:rPr>
        <w:t>E. + O. E.</w:t>
      </w:r>
      <w:r>
        <w:rPr/>
        <w:t xml:space="preserve"> </w:t>
      </w:r>
    </w:p>
    <w:p>
      <w:pPr>
        <w:pStyle w:val="TextBody"/>
        <w:bidi w:val="0"/>
        <w:spacing w:lineRule="auto" w:line="240" w:before="0" w:after="0"/>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ntarel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SC" w:cs="Droid Sans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2021-01-20T22:02:21Z</dcterms:created>
  <dc:creator/>
  <dc:description/>
  <dc:language>en-US</dc:language>
  <cp:lastModifiedBy/>
  <dcterms:modified xsi:type="dcterms:W3CDTF">2021-02-04T17:17:02Z</dcterms:modified>
  <cp:revision>3</cp:revision>
  <dc:subject/>
  <dc:title/>
</cp:coreProperties>
</file>